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28"/>
        </w:rPr>
        <w:t>U.S. National Science Foundation</w:t>
      </w:r>
    </w:p>
    <w:p>
      <w:pPr>
        <w:jc w:val="center"/>
      </w:pPr>
      <w:r>
        <w:rPr>
          <w:rFonts w:ascii="Calibri" w:hAnsi="Calibri"/>
          <w:b/>
          <w:sz w:val="28"/>
        </w:rPr>
        <w:t>Convergence Accelerator 2023 Cohort</w:t>
      </w:r>
    </w:p>
    <w:p>
      <w:pPr>
        <w:jc w:val="center"/>
      </w:pPr>
      <w:r>
        <w:rPr>
          <w:rFonts w:ascii="Calibri" w:hAnsi="Calibri"/>
          <w:b/>
          <w:sz w:val="28"/>
        </w:rPr>
        <w:t>Phase 2, Year 1 Reverse Site Visit</w:t>
      </w:r>
    </w:p>
    <w:p/>
    <w:p>
      <w:pPr>
        <w:jc w:val="center"/>
      </w:pPr>
      <w:r>
        <w:rPr>
          <w:rFonts w:ascii="Calibri" w:hAnsi="Calibri"/>
          <w:b/>
          <w:sz w:val="24"/>
        </w:rPr>
        <w:t>Track: Future Water Systems</w:t>
      </w:r>
    </w:p>
    <w:p>
      <w:pPr>
        <w:jc w:val="center"/>
      </w:pPr>
      <w:r>
        <w:rPr>
          <w:rFonts w:ascii="Calibri" w:hAnsi="Calibri"/>
          <w:sz w:val="24"/>
        </w:rPr>
        <w:t>Measuring and Mitigating Land Management Impacts on In-Stream Water Quality</w:t>
        <w:br/>
        <w:t>with Sensor-Informed Data Fusion and Community-Led, Climate-Financed Riparian Restoration</w:t>
      </w:r>
    </w:p>
    <w:p>
      <w:pPr>
        <w:jc w:val="center"/>
      </w:pPr>
      <w:r>
        <w:rPr>
          <w:rFonts w:ascii="Calibri" w:hAnsi="Calibri"/>
          <w:b/>
          <w:sz w:val="24"/>
        </w:rPr>
        <w:t>March 14, 2026, 10:00 a.m. – 2:00 p.m. ET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7200"/>
      </w:tblGrid>
      <w:tr>
        <w:tc>
          <w:tcPr>
            <w:tcW w:type="dxa" w:w="4680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97280" cy="28533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28533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80"/>
          </w:tcPr>
          <w:p>
            <w:r/>
            <w:r>
              <w:rPr>
                <w:rFonts w:ascii="Calibri" w:hAnsi="Calibri"/>
                <w:sz w:val="20"/>
              </w:rPr>
              <w:t>Virridy develops an integrated convergence framework combining continuous environmental sensing (the Lume platform), machine learning analytics, carbon-finance mechanisms, and regulatory co-design to accelerate adoption of nature-based watershed solutions. The project operates across nine countries with programs spanning drinking water treatment, precision irrigation, and watershed restoration. The Lume sensor—the first single-unit fluorimetric sensor for continuous microbial water quality monitoring using Silicon Photomultiplier (SiPM) technology—provides real-time E. coli risk estimation with 75%+ accuracy and &gt;94% categorical accuracy with site calibration. Carbon credits are generated under Gold Standard, Verra VCS, and Regen Registry methodologies, with approximately $18M in credit sales contracts executed and projections of over 3 million credits and 5 million people reached by 2030.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5760"/>
        <w:gridCol w:w="2160"/>
      </w:tblGrid>
      <w:tr>
        <w:tc>
          <w:tcPr>
            <w:tcW w:type="dxa" w:w="3120"/>
          </w:tcPr>
          <w:p>
            <w:r>
              <w:rPr>
                <w:rFonts w:ascii="Calibri" w:hAnsi="Calibri"/>
                <w:b/>
                <w:sz w:val="22"/>
              </w:rPr>
              <w:t>Time (ET)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b/>
                <w:sz w:val="22"/>
              </w:rPr>
              <w:t>Presentation Topic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b/>
                <w:sz w:val="22"/>
              </w:rPr>
              <w:t>Presenter(s)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10:00 – 10:15 a.m.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Introductions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Program Director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10:15 – 10:30 a.m.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I. Overview</w:t>
              <w:br/>
              <w:t>• Project vision and convergence approach</w:t>
              <w:br/>
              <w:t>• Three integrated components: sensing, carbon finance, policy</w:t>
              <w:br/>
              <w:t>• Intellectual merit: SiPM detector advantage, sensor validation, life-cycle accounting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Evan Thomas</w:t>
              <w:br/>
              <w:t>(PI / CEO)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10:30 – 10:45 a.m.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Q&amp;A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Panel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10:45 – 11:00 a.m.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Break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11:00 – 11:30 a.m.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II. Project Accomplishments &amp; Plan for Year 2</w:t>
              <w:br/>
              <w:t>• Sensing: Lume v1.2 development, 500+ field validations, ML models (90% balanced accuracy on Seine), global E. coli dataset (10M+ observations)</w:t>
              <w:br/>
              <w:t>• Carbon finance: $18M in contracts, 78,000+ credits issued to date (Rwanda, Kenya, Wisconsin), Water Mission Tanzania purchase, VM0042 Turkey/Mexico</w:t>
              <w:br/>
              <w:t>• Policy: SB24-037 enacted, CDPHE 3-year pilot framework, national WQT analysis</w:t>
              <w:br/>
              <w:t>• Deployments: 4 contracts in implementation, USAF procurement, 8+ additional sites in discussion, Veralto strategic partnership negotiations</w:t>
              <w:br/>
              <w:t>• Year 2 acceleration: scale deployments, 10,000+ hectares, pilots in motion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Evan Thomas</w:t>
              <w:br/>
              <w:t>Danny Wilson</w:t>
              <w:br/>
              <w:t>(CTO)</w:t>
              <w:br/>
              <w:t>Alex Johnson</w:t>
              <w:br/>
              <w:t>(CSO)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11:30 – 11:50 a.m.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Q&amp;A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Panel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11:50 a.m. – 12:05 p.m.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Break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12:05 – 12:30 p.m.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III. Broader Impacts</w:t>
              <w:br/>
              <w:t>• Public health: 29–49% diarrhea reduction, 5.6x cost-benefit ratio</w:t>
              <w:br/>
              <w:t>• Global reach: 9 countries, 300K+ children in Rwanda schools, 3M+ students in Kenya, USAID DRIP ($35M)</w:t>
              <w:br/>
              <w:t>• Scientific infrastructure: 39 publications, 4 patents + 1 pending, global E. coli database</w:t>
              <w:br/>
              <w:t>• Economic: 180x more data at comparable cost vs. grab sampling, complement to IDEXX Colilert ($201M market)</w:t>
              <w:br/>
              <w:t>• Environmental justice: affordable monitoring for underserved communities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Evan Thomas</w:t>
              <w:br/>
              <w:t>Laura MacDonald</w:t>
              <w:br/>
              <w:t>(Int'l Carbon Programs)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12:30 – 12:45 p.m.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Q&amp;A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Panel</w:t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12:45 – 1:00 p.m.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Break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1:00 – 1:20 p.m.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IV. Sustainability Plan</w:t>
              <w:br/>
              <w:t>• Dual revenue: Lume SaaS ($200/mo/site) + carbon credit sales</w:t>
              <w:br/>
              <w:t>• Competitive moat: only SiPM-based TLF sensor, replaced Proteus on H2NOW Chicago</w:t>
              <w:br/>
              <w:t>• Market: $5.7B → $9.1B by 2030; consolidation (In-Situ/Veralto $435M, Chelsea/Kraken $615M)</w:t>
              <w:br/>
              <w:t>• Veralto strategic partnership under negotiation (Hach, In-Situ, OTT HydroMet distribution)</w:t>
              <w:br/>
              <w:t>• Blended capital: NSF + $8.5M equity + $18M credit contracts + $20M fund in development</w:t>
              <w:br/>
              <w:t>• Three reinforcing mechanisms: policy → monitoring → carbon markets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Evan Thomas</w:t>
              <w:br/>
              <w:t>Alex Johnson</w:t>
            </w:r>
          </w:p>
        </w:tc>
      </w:tr>
      <w:tr>
        <w:tc>
          <w:tcPr>
            <w:tcW w:type="dxa" w:w="3120"/>
          </w:tcPr>
          <w:p>
            <w:r>
              <w:t>1:20 – 1:35 p.m.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Q&amp;A</w:t>
            </w:r>
          </w:p>
        </w:tc>
        <w:tc>
          <w:tcPr>
            <w:tcW w:type="dxa" w:w="3120"/>
          </w:tcPr>
          <w:p>
            <w:r>
              <w:rPr>
                <w:rFonts w:ascii="Calibri" w:hAnsi="Calibri"/>
                <w:sz w:val="20"/>
              </w:rPr>
              <w:t>Panel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sz w:val="20"/>
              </w:rPr>
              <w:t>1:35 – 1:40 p.m.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sz w:val="20"/>
              </w:rPr>
              <w:t>Break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sz w:val="20"/>
              </w:rPr>
              <w:t>1:40 – 2:00 p.m.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sz w:val="20"/>
              </w:rPr>
              <w:t>V. Partner Testimonials</w:t>
              <w:br/>
              <w:t>• Sam Malloy — NSF ASCEND Engine: Lume deployment partnership and collaborative water quality monitoring</w:t>
              <w:br/>
              <w:t>• Christel Valentine — Veralto Corporation: Strategic partnership discussions and market alignment (In-Situ, Hach, OTT HydroMet)</w:t>
              <w:br/>
              <w:t>• John Simon — Total Impact Capital: $20M investment fund development and carbon-credit financing strategy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sz w:val="20"/>
              </w:rPr>
              <w:t>Sam Malloy</w:t>
              <w:br/>
              <w:t>Christel Valentine</w:t>
              <w:br/>
              <w:t>John Simon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 w:line="240" w:lineRule="auto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